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043E688E"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4F66B2">
        <w:rPr>
          <w:b/>
          <w:bCs/>
          <w:i/>
          <w:noProof/>
          <w:sz w:val="28"/>
        </w:rPr>
        <w:t>1814421</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5B48316" w:rsidR="001E41F3" w:rsidRDefault="000F26EB"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C68B97E" w:rsidR="001E41F3" w:rsidRDefault="004F66B2">
            <w:pPr>
              <w:pStyle w:val="CRCoverPage"/>
              <w:spacing w:after="0"/>
              <w:rPr>
                <w:noProof/>
              </w:rPr>
            </w:pPr>
            <w:r>
              <w:rPr>
                <w:b/>
                <w:noProof/>
                <w:sz w:val="28"/>
              </w:rPr>
              <w:t>322</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16C324D" w:rsidR="001E41F3" w:rsidRDefault="00EF4F68">
            <w:pPr>
              <w:pStyle w:val="CRCoverPage"/>
              <w:spacing w:after="0"/>
              <w:jc w:val="center"/>
              <w:rPr>
                <w:noProof/>
              </w:rPr>
            </w:pPr>
            <w:r>
              <w:rPr>
                <w:b/>
                <w:noProof/>
                <w:sz w:val="32"/>
              </w:rPr>
              <w:t>15.3</w:t>
            </w:r>
            <w:r w:rsidR="000F26EB">
              <w:rPr>
                <w:b/>
                <w:noProof/>
                <w:sz w:val="32"/>
              </w:rPr>
              <w:t>.</w:t>
            </w:r>
            <w:r>
              <w:rPr>
                <w:b/>
                <w:noProof/>
                <w:sz w:val="32"/>
              </w:rPr>
              <w:t>0</w:t>
            </w:r>
            <w:bookmarkStart w:id="0" w:name="_GoBack"/>
            <w:bookmarkEnd w:id="0"/>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7BA4BDF" w:rsidR="001E41F3" w:rsidRDefault="00D8217F">
            <w:pPr>
              <w:pStyle w:val="CRCoverPage"/>
              <w:spacing w:after="0"/>
              <w:ind w:left="100"/>
              <w:rPr>
                <w:noProof/>
              </w:rPr>
            </w:pPr>
            <w:r>
              <w:rPr>
                <w:noProof/>
              </w:rPr>
              <w:t>RRCResume and secondary cell group configuration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7777777" w:rsidR="00132364" w:rsidRDefault="00132364" w:rsidP="00132364">
            <w:pPr>
              <w:pStyle w:val="CRCoverPage"/>
              <w:spacing w:after="0"/>
              <w:ind w:left="100"/>
              <w:rPr>
                <w:noProof/>
              </w:rPr>
            </w:pP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7777777" w:rsidR="00132364" w:rsidRDefault="00132364" w:rsidP="00132364">
            <w:pPr>
              <w:pStyle w:val="CRCoverPage"/>
              <w:spacing w:after="0"/>
              <w:ind w:left="100"/>
              <w:rPr>
                <w:b/>
                <w:noProof/>
              </w:rPr>
            </w:pP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77777777" w:rsidR="00132364" w:rsidRDefault="00132364" w:rsidP="00132364">
            <w:pPr>
              <w:pStyle w:val="CRCoverPage"/>
              <w:spacing w:before="20" w:after="80"/>
              <w:ind w:left="102"/>
              <w:rPr>
                <w:noProof/>
              </w:rPr>
            </w:pPr>
            <w:r>
              <w:rPr>
                <w:noProof/>
              </w:rPr>
              <w:t>Give the reasons for change:</w:t>
            </w:r>
          </w:p>
          <w:p w14:paraId="7566047F" w14:textId="7FAF057A" w:rsidR="0004652D" w:rsidRPr="00D8217F" w:rsidRDefault="00D8217F" w:rsidP="00D8217F">
            <w:pPr>
              <w:pStyle w:val="CRCoverPage"/>
              <w:numPr>
                <w:ilvl w:val="0"/>
                <w:numId w:val="1"/>
              </w:numPr>
              <w:tabs>
                <w:tab w:val="left" w:pos="384"/>
              </w:tabs>
              <w:spacing w:before="20" w:after="80"/>
              <w:ind w:left="384" w:hanging="284"/>
              <w:rPr>
                <w:i/>
                <w:noProof/>
              </w:rPr>
            </w:pPr>
            <w:r>
              <w:rPr>
                <w:noProof/>
              </w:rPr>
              <w:t>There are FFSes whether resume can have secondary cell group configuration. This needs to be resolved.</w:t>
            </w:r>
          </w:p>
          <w:p w14:paraId="62D9A1FE" w14:textId="77777777" w:rsidR="00D8217F" w:rsidRDefault="00D8217F" w:rsidP="00D8217F">
            <w:pPr>
              <w:pStyle w:val="CRCoverPage"/>
              <w:numPr>
                <w:ilvl w:val="0"/>
                <w:numId w:val="1"/>
              </w:numPr>
              <w:tabs>
                <w:tab w:val="left" w:pos="384"/>
              </w:tabs>
              <w:spacing w:before="20" w:after="80"/>
              <w:ind w:left="384" w:hanging="284"/>
              <w:rPr>
                <w:i/>
                <w:noProof/>
              </w:rPr>
            </w:pPr>
            <w:r>
              <w:rPr>
                <w:noProof/>
              </w:rPr>
              <w:t>In 5.</w:t>
            </w:r>
            <w:r>
              <w:rPr>
                <w:i/>
                <w:noProof/>
              </w:rPr>
              <w:t xml:space="preserve">3.13.4 </w:t>
            </w:r>
            <w:r>
              <w:rPr>
                <w:noProof/>
              </w:rPr>
              <w:t xml:space="preserve"> one refers to cellGroupConfig – It should refer to existing IE </w:t>
            </w:r>
            <w:r>
              <w:rPr>
                <w:i/>
                <w:noProof/>
              </w:rPr>
              <w:t>masterCellGroup</w:t>
            </w:r>
          </w:p>
          <w:p w14:paraId="7CF1D230" w14:textId="6C83DB91" w:rsidR="00D8217F" w:rsidRPr="007F337C" w:rsidRDefault="00D8217F" w:rsidP="00D8217F">
            <w:pPr>
              <w:pStyle w:val="CRCoverPage"/>
              <w:numPr>
                <w:ilvl w:val="0"/>
                <w:numId w:val="1"/>
              </w:numPr>
              <w:tabs>
                <w:tab w:val="left" w:pos="384"/>
              </w:tabs>
              <w:spacing w:before="20" w:after="80"/>
              <w:ind w:left="384" w:hanging="284"/>
              <w:rPr>
                <w:i/>
                <w:noProof/>
              </w:rPr>
            </w:pPr>
            <w:r>
              <w:rPr>
                <w:noProof/>
              </w:rPr>
              <w:t>There are various IEs not using italics font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77667A5E" w14:textId="6850AB99" w:rsidR="008B5032" w:rsidRDefault="00D8217F" w:rsidP="007F337C">
            <w:pPr>
              <w:pStyle w:val="CRCoverPage"/>
              <w:numPr>
                <w:ilvl w:val="0"/>
                <w:numId w:val="2"/>
              </w:numPr>
              <w:tabs>
                <w:tab w:val="left" w:pos="384"/>
              </w:tabs>
              <w:spacing w:before="20" w:after="80"/>
              <w:ind w:left="384" w:hanging="284"/>
              <w:rPr>
                <w:noProof/>
              </w:rPr>
            </w:pPr>
            <w:r>
              <w:rPr>
                <w:noProof/>
              </w:rPr>
              <w:t xml:space="preserve"> Currently ASN.1 does not support SCG configuration in resume and if that is to be supported we would need NBC ASN.1 changes Thus delete Editor’s notes in 5.3.13.4 regarding secondary cell group configuration in resume.</w:t>
            </w:r>
            <w:r w:rsidR="00B21359">
              <w:rPr>
                <w:noProof/>
              </w:rPr>
              <w:t xml:space="preserve"> </w:t>
            </w:r>
          </w:p>
          <w:p w14:paraId="5EF632C8" w14:textId="6AB60959" w:rsidR="00D8217F" w:rsidRDefault="00D8217F" w:rsidP="007F337C">
            <w:pPr>
              <w:pStyle w:val="CRCoverPage"/>
              <w:numPr>
                <w:ilvl w:val="0"/>
                <w:numId w:val="2"/>
              </w:numPr>
              <w:tabs>
                <w:tab w:val="left" w:pos="384"/>
              </w:tabs>
              <w:spacing w:before="20" w:after="80"/>
              <w:ind w:left="384" w:hanging="284"/>
              <w:rPr>
                <w:noProof/>
              </w:rPr>
            </w:pPr>
            <w:r>
              <w:rPr>
                <w:noProof/>
              </w:rPr>
              <w:t xml:space="preserve">change </w:t>
            </w:r>
            <w:r>
              <w:rPr>
                <w:i/>
                <w:noProof/>
              </w:rPr>
              <w:t xml:space="preserve">masterCellGroupConfig </w:t>
            </w:r>
            <w:r>
              <w:rPr>
                <w:noProof/>
              </w:rPr>
              <w:t xml:space="preserve">to </w:t>
            </w:r>
            <w:r>
              <w:rPr>
                <w:i/>
                <w:noProof/>
              </w:rPr>
              <w:t>masterCellGroup</w:t>
            </w:r>
          </w:p>
          <w:p w14:paraId="09FEB2F6" w14:textId="17BB40BE" w:rsidR="00EC130E" w:rsidRDefault="007F337C" w:rsidP="007F337C">
            <w:pPr>
              <w:pStyle w:val="CRCoverPage"/>
              <w:numPr>
                <w:ilvl w:val="0"/>
                <w:numId w:val="2"/>
              </w:numPr>
              <w:tabs>
                <w:tab w:val="left" w:pos="384"/>
              </w:tabs>
              <w:spacing w:before="20" w:after="80"/>
              <w:ind w:left="384" w:hanging="284"/>
              <w:rPr>
                <w:noProof/>
              </w:rPr>
            </w:pPr>
            <w:r>
              <w:rPr>
                <w:noProof/>
              </w:rPr>
              <w:t xml:space="preserve"> </w:t>
            </w:r>
            <w:r w:rsidR="00D8217F">
              <w:rPr>
                <w:noProof/>
              </w:rPr>
              <w:t>Change variouis IEs to italic font</w:t>
            </w:r>
          </w:p>
          <w:p w14:paraId="111C442C" w14:textId="5D881ED5" w:rsidR="00132364" w:rsidRDefault="00132364"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D8C2F6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Pr>
                <w:noProof/>
              </w:rPr>
              <w:t>functionality impacted</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555769B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C130E">
              <w:rPr>
                <w:noProof/>
              </w:rPr>
              <w:t xml:space="preserve"> there may be different understanding SIBs are valid or not</w:t>
            </w:r>
          </w:p>
          <w:p w14:paraId="3DAD91BD" w14:textId="157F5D76"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EC130E">
              <w:rPr>
                <w:noProof/>
              </w:rPr>
              <w:t>t there may not be mutual understanding if SIBs are valid or not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B3286E1" w:rsidR="00132364" w:rsidRDefault="004E7EE8" w:rsidP="00132364">
            <w:pPr>
              <w:pStyle w:val="CRCoverPage"/>
              <w:spacing w:before="20" w:after="80"/>
              <w:ind w:left="100"/>
              <w:rPr>
                <w:noProof/>
              </w:rPr>
            </w:pPr>
            <w:r>
              <w:rPr>
                <w:noProof/>
              </w:rPr>
              <w:t>Specification would not be complete</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6DE2037B" w14:textId="77777777" w:rsidR="00D8217F" w:rsidRDefault="00D8217F" w:rsidP="00D8217F">
      <w:pPr>
        <w:pStyle w:val="Heading4"/>
      </w:pPr>
      <w:r>
        <w:t>5.3.13.4</w:t>
      </w:r>
      <w:r>
        <w:tab/>
        <w:t xml:space="preserve">Reception of the </w:t>
      </w:r>
      <w:r>
        <w:rPr>
          <w:i/>
        </w:rPr>
        <w:t>RRCResume</w:t>
      </w:r>
      <w:r>
        <w:t xml:space="preserve"> by the UE</w:t>
      </w:r>
    </w:p>
    <w:p w14:paraId="12AC7089" w14:textId="77777777" w:rsidR="00D8217F" w:rsidRDefault="00D8217F" w:rsidP="00D8217F">
      <w:r>
        <w:t>The UE shall:</w:t>
      </w:r>
    </w:p>
    <w:p w14:paraId="7C65EC24" w14:textId="77777777" w:rsidR="00D8217F" w:rsidRDefault="00D8217F" w:rsidP="00D8217F">
      <w:pPr>
        <w:pStyle w:val="B1"/>
      </w:pPr>
      <w:r>
        <w:t>1&gt;</w:t>
      </w:r>
      <w:r>
        <w:tab/>
        <w:t>stop timer T319;</w:t>
      </w:r>
    </w:p>
    <w:p w14:paraId="6D212001" w14:textId="77777777" w:rsidR="00D8217F" w:rsidRDefault="00D8217F" w:rsidP="00D8217F">
      <w:pPr>
        <w:pStyle w:val="B1"/>
      </w:pPr>
      <w:r>
        <w:t>1&gt;</w:t>
      </w:r>
      <w:r>
        <w:tab/>
        <w:t xml:space="preserve">if the </w:t>
      </w:r>
      <w:r>
        <w:rPr>
          <w:i/>
        </w:rPr>
        <w:t>RRCResume</w:t>
      </w:r>
      <w:r>
        <w:t xml:space="preserve"> includes the </w:t>
      </w:r>
      <w:r>
        <w:rPr>
          <w:i/>
        </w:rPr>
        <w:t>fullConfig</w:t>
      </w:r>
      <w:r>
        <w:t>:</w:t>
      </w:r>
    </w:p>
    <w:p w14:paraId="2AD5BB2E" w14:textId="77777777" w:rsidR="00D8217F" w:rsidRDefault="00D8217F" w:rsidP="00D8217F">
      <w:pPr>
        <w:pStyle w:val="B2"/>
      </w:pPr>
      <w:r>
        <w:rPr>
          <w:lang w:eastAsia="ko-KR"/>
        </w:rPr>
        <w:t>2&gt;</w:t>
      </w:r>
      <w:r>
        <w:rPr>
          <w:lang w:eastAsia="ko-KR"/>
        </w:rPr>
        <w:tab/>
      </w:r>
      <w:r>
        <w:rPr>
          <w:lang w:val="en-US" w:eastAsia="en-GB"/>
        </w:rPr>
        <w:t>perform the full configuration procedure as specified in 5.3.5.11</w:t>
      </w:r>
      <w:r>
        <w:t>;</w:t>
      </w:r>
    </w:p>
    <w:p w14:paraId="647A8E14" w14:textId="77777777" w:rsidR="00D8217F" w:rsidRDefault="00D8217F" w:rsidP="00D8217F">
      <w:pPr>
        <w:pStyle w:val="B1"/>
      </w:pPr>
      <w:r>
        <w:t>1&gt;</w:t>
      </w:r>
      <w:r>
        <w:tab/>
        <w:t>else:</w:t>
      </w:r>
    </w:p>
    <w:p w14:paraId="4CA98236" w14:textId="77777777" w:rsidR="00D8217F" w:rsidRDefault="00D8217F" w:rsidP="00D8217F">
      <w:pPr>
        <w:pStyle w:val="B2"/>
      </w:pPr>
      <w:r>
        <w:t>2&gt;</w:t>
      </w:r>
      <w:r>
        <w:tab/>
        <w:t>restore the PDCP state and reset COUNT value for SRB2 and all DRBs;</w:t>
      </w:r>
    </w:p>
    <w:p w14:paraId="1DF52F81" w14:textId="77777777" w:rsidR="00D8217F" w:rsidRDefault="00D8217F" w:rsidP="00D8217F">
      <w:pPr>
        <w:pStyle w:val="B2"/>
      </w:pPr>
      <w:r>
        <w:t>2&gt;</w:t>
      </w:r>
      <w:r>
        <w:tab/>
        <w:t xml:space="preserve">restore the </w:t>
      </w:r>
      <w:ins w:id="3" w:author="Author">
        <w:r>
          <w:rPr>
            <w:i/>
          </w:rPr>
          <w:t>masterC</w:t>
        </w:r>
      </w:ins>
      <w:del w:id="4" w:author="Author">
        <w:r w:rsidDel="00BA4E65">
          <w:rPr>
            <w:i/>
          </w:rPr>
          <w:delText>c</w:delText>
        </w:r>
      </w:del>
      <w:r>
        <w:rPr>
          <w:i/>
        </w:rPr>
        <w:t>ellGroup</w:t>
      </w:r>
      <w:del w:id="5" w:author="Author">
        <w:r w:rsidDel="00BA4E65">
          <w:rPr>
            <w:i/>
          </w:rPr>
          <w:delText>Config</w:delText>
        </w:r>
      </w:del>
      <w:r>
        <w:t xml:space="preserve"> from the stored UE AS context;</w:t>
      </w:r>
      <w:r w:rsidRPr="00D232FC">
        <w:t xml:space="preserve"> </w:t>
      </w:r>
    </w:p>
    <w:p w14:paraId="622C3231" w14:textId="77777777" w:rsidR="00D8217F" w:rsidRDefault="00D8217F" w:rsidP="00D8217F">
      <w:pPr>
        <w:pStyle w:val="B2"/>
        <w:rPr>
          <w:lang w:eastAsia="ko-KR"/>
        </w:rPr>
      </w:pPr>
      <w:r>
        <w:rPr>
          <w:lang w:eastAsia="ko-KR"/>
        </w:rPr>
        <w:t>2&gt;</w:t>
      </w:r>
      <w:r>
        <w:rPr>
          <w:lang w:eastAsia="ko-KR"/>
        </w:rPr>
        <w:tab/>
        <w:t>indicate to lower layers that stored UE AS context is used</w:t>
      </w:r>
      <w:r>
        <w:t>;</w:t>
      </w:r>
    </w:p>
    <w:p w14:paraId="548E62D5" w14:textId="77777777" w:rsidR="00D8217F" w:rsidRDefault="00D8217F" w:rsidP="00D8217F">
      <w:pPr>
        <w:pStyle w:val="B1"/>
        <w:rPr>
          <w:ins w:id="6" w:author="Author"/>
        </w:rPr>
      </w:pPr>
      <w:r>
        <w:t>1&gt;</w:t>
      </w:r>
      <w:r>
        <w:tab/>
        <w:t xml:space="preserve">discard the </w:t>
      </w:r>
      <w:r>
        <w:rPr>
          <w:i/>
        </w:rPr>
        <w:t>fullI-RNTI</w:t>
      </w:r>
      <w:r>
        <w:t xml:space="preserve">, </w:t>
      </w:r>
      <w:r>
        <w:rPr>
          <w:i/>
        </w:rPr>
        <w:t>short</w:t>
      </w:r>
      <w:r w:rsidRPr="001E23E6">
        <w:rPr>
          <w:i/>
        </w:rPr>
        <w:t>I-RNTI</w:t>
      </w:r>
      <w:r>
        <w:t xml:space="preserve"> and the stored UE AS context, except </w:t>
      </w:r>
      <w:r>
        <w:rPr>
          <w:i/>
        </w:rPr>
        <w:t>ran-NotificationAreaInfo</w:t>
      </w:r>
      <w:r>
        <w:t>;</w:t>
      </w:r>
    </w:p>
    <w:p w14:paraId="757267D5" w14:textId="77777777" w:rsidR="00D8217F" w:rsidRDefault="00D8217F" w:rsidP="00D8217F">
      <w:pPr>
        <w:pStyle w:val="B1"/>
      </w:pPr>
    </w:p>
    <w:p w14:paraId="41064A25" w14:textId="77777777" w:rsidR="00D8217F" w:rsidRDefault="00D8217F" w:rsidP="00D8217F">
      <w:pPr>
        <w:pStyle w:val="B1"/>
        <w:rPr>
          <w:rFonts w:eastAsia="Batang"/>
          <w:noProof/>
        </w:rPr>
      </w:pPr>
      <w:r>
        <w:rPr>
          <w:rFonts w:eastAsia="Batang"/>
          <w:noProof/>
        </w:rPr>
        <w:t>1&gt;</w:t>
      </w:r>
      <w:r>
        <w:rPr>
          <w:rFonts w:eastAsia="Batang"/>
          <w:noProof/>
        </w:rPr>
        <w:tab/>
        <w:t xml:space="preserve">if the </w:t>
      </w:r>
      <w:r>
        <w:rPr>
          <w:i/>
        </w:rPr>
        <w:t>RRCResume</w:t>
      </w:r>
      <w:r>
        <w:rPr>
          <w:rFonts w:eastAsia="Batang"/>
          <w:noProof/>
        </w:rPr>
        <w:t xml:space="preserve"> includes the </w:t>
      </w:r>
      <w:r>
        <w:rPr>
          <w:rFonts w:eastAsia="Batang"/>
          <w:i/>
          <w:noProof/>
        </w:rPr>
        <w:t>masterCellGroup</w:t>
      </w:r>
      <w:r>
        <w:rPr>
          <w:rFonts w:eastAsia="Batang"/>
          <w:noProof/>
        </w:rPr>
        <w:t>:</w:t>
      </w:r>
    </w:p>
    <w:p w14:paraId="29573958" w14:textId="77777777" w:rsidR="00D8217F" w:rsidRDefault="00D8217F" w:rsidP="00D8217F">
      <w:pPr>
        <w:pStyle w:val="B2"/>
        <w:rPr>
          <w:rFonts w:eastAsia="Batang"/>
          <w:noProof/>
        </w:rPr>
      </w:pPr>
      <w:r>
        <w:rPr>
          <w:rFonts w:eastAsia="Batang"/>
          <w:noProof/>
          <w:lang w:val="en-US"/>
        </w:rPr>
        <w:t>2</w:t>
      </w:r>
      <w:r>
        <w:rPr>
          <w:rFonts w:eastAsia="Batang"/>
          <w:noProof/>
        </w:rPr>
        <w:t>&gt;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123FBEE3" w14:textId="77777777" w:rsidR="00D8217F" w:rsidDel="00E54147" w:rsidRDefault="00D8217F" w:rsidP="00D8217F">
      <w:pPr>
        <w:pStyle w:val="EditorsNote"/>
        <w:rPr>
          <w:del w:id="7" w:author="Author"/>
          <w:rFonts w:eastAsia="Batang"/>
          <w:noProof/>
        </w:rPr>
      </w:pPr>
      <w:del w:id="8" w:author="Author">
        <w:r w:rsidDel="00E54147">
          <w:rPr>
            <w:rFonts w:eastAsia="Batang"/>
            <w:noProof/>
          </w:rPr>
          <w:delText xml:space="preserve">Editor’s Note: FFS Whether it is supported to configure </w:delText>
        </w:r>
        <w:r w:rsidDel="00E54147">
          <w:rPr>
            <w:rFonts w:eastAsia="Batang"/>
            <w:i/>
            <w:noProof/>
          </w:rPr>
          <w:delText>secondaryCellGroup</w:delText>
        </w:r>
        <w:r w:rsidDel="00E54147">
          <w:rPr>
            <w:rFonts w:eastAsia="Batang"/>
            <w:noProof/>
          </w:rPr>
          <w:delText xml:space="preserve"> at Resume.</w:delText>
        </w:r>
      </w:del>
    </w:p>
    <w:p w14:paraId="328ABCBE" w14:textId="77777777" w:rsidR="00D8217F" w:rsidRDefault="00D8217F" w:rsidP="00D8217F">
      <w:pPr>
        <w:pStyle w:val="B1"/>
        <w:rPr>
          <w:rFonts w:eastAsia="Batang"/>
          <w:noProof/>
        </w:rPr>
      </w:pPr>
      <w:r>
        <w:rPr>
          <w:rFonts w:eastAsia="Batang"/>
          <w:noProof/>
        </w:rPr>
        <w:t>1&gt;</w:t>
      </w:r>
      <w:r>
        <w:rPr>
          <w:rFonts w:eastAsia="Batang"/>
          <w:noProof/>
        </w:rPr>
        <w:tab/>
        <w:t xml:space="preserve">if the </w:t>
      </w:r>
      <w:r w:rsidRPr="001E23E6">
        <w:rPr>
          <w:i/>
        </w:rPr>
        <w:t>RRCResume</w:t>
      </w:r>
      <w:r>
        <w:rPr>
          <w:rFonts w:eastAsia="Batang"/>
          <w:noProof/>
        </w:rPr>
        <w:t xml:space="preserve"> includes the </w:t>
      </w:r>
      <w:r w:rsidRPr="001E23E6">
        <w:rPr>
          <w:rFonts w:eastAsia="Batang"/>
          <w:i/>
          <w:noProof/>
        </w:rPr>
        <w:t>radioBearerConfig</w:t>
      </w:r>
      <w:r>
        <w:rPr>
          <w:rFonts w:eastAsia="Batang"/>
          <w:noProof/>
        </w:rPr>
        <w:t>:</w:t>
      </w:r>
    </w:p>
    <w:p w14:paraId="0F779A4C" w14:textId="77777777" w:rsidR="00D8217F" w:rsidRDefault="00D8217F" w:rsidP="00D8217F">
      <w:pPr>
        <w:pStyle w:val="B2"/>
        <w:rPr>
          <w:rFonts w:eastAsia="Batang"/>
          <w:noProof/>
        </w:rPr>
      </w:pPr>
      <w:r>
        <w:rPr>
          <w:rFonts w:eastAsia="Batang"/>
          <w:noProof/>
        </w:rPr>
        <w:t>2&gt;</w:t>
      </w:r>
      <w:r>
        <w:rPr>
          <w:rFonts w:eastAsia="Batang"/>
          <w:noProof/>
        </w:rPr>
        <w:tab/>
        <w:t>perform the radio bearer configuration according to 5.3.5.6;</w:t>
      </w:r>
    </w:p>
    <w:p w14:paraId="7A66FDD8" w14:textId="77777777" w:rsidR="00D8217F" w:rsidDel="00985457" w:rsidRDefault="00D8217F" w:rsidP="00D8217F">
      <w:pPr>
        <w:pStyle w:val="EditorsNote"/>
        <w:rPr>
          <w:del w:id="9" w:author="Author"/>
          <w:rFonts w:eastAsia="Batang"/>
          <w:noProof/>
        </w:rPr>
      </w:pPr>
      <w:del w:id="10" w:author="Author">
        <w:r w:rsidDel="00985457">
          <w:rPr>
            <w:rFonts w:eastAsia="Batang"/>
            <w:noProof/>
          </w:rPr>
          <w:delText xml:space="preserve">Editor’s Note: FFS Whether there needs to be a second </w:delText>
        </w:r>
        <w:r w:rsidDel="00985457">
          <w:rPr>
            <w:rFonts w:eastAsia="Batang"/>
            <w:i/>
            <w:noProof/>
          </w:rPr>
          <w:delText>radioBearerConfig</w:delText>
        </w:r>
        <w:r w:rsidDel="00985457">
          <w:rPr>
            <w:rFonts w:eastAsia="Batang"/>
            <w:noProof/>
          </w:rPr>
          <w:delText>.</w:delText>
        </w:r>
      </w:del>
    </w:p>
    <w:p w14:paraId="5C253610" w14:textId="77777777" w:rsidR="00D8217F" w:rsidRDefault="00D8217F" w:rsidP="00D8217F">
      <w:pPr>
        <w:pStyle w:val="B1"/>
      </w:pPr>
      <w:r>
        <w:t>1&gt;</w:t>
      </w:r>
      <w:r>
        <w:tab/>
        <w:t>resume SRB2 and all DRBs;</w:t>
      </w:r>
    </w:p>
    <w:p w14:paraId="1A97E18D" w14:textId="77777777" w:rsidR="00D8217F" w:rsidRDefault="00D8217F" w:rsidP="00D8217F">
      <w:pPr>
        <w:pStyle w:val="B1"/>
      </w:pPr>
      <w:r>
        <w:t>1&gt;</w:t>
      </w:r>
      <w:r>
        <w:tab/>
        <w:t xml:space="preserve">if stored, discard the cell reselection priority information provided by the </w:t>
      </w:r>
      <w:r>
        <w:rPr>
          <w:i/>
        </w:rPr>
        <w:t>cellReselectionPriorities</w:t>
      </w:r>
      <w:r>
        <w:t xml:space="preserve"> or inherited from another RAT;</w:t>
      </w:r>
    </w:p>
    <w:p w14:paraId="4FB49A9D" w14:textId="77777777" w:rsidR="00D8217F" w:rsidRDefault="00D8217F" w:rsidP="00D8217F">
      <w:pPr>
        <w:pStyle w:val="B1"/>
      </w:pPr>
      <w:r>
        <w:t>1&gt; stop timer T320, if running;</w:t>
      </w:r>
    </w:p>
    <w:p w14:paraId="5E9C624F" w14:textId="77777777" w:rsidR="00D8217F" w:rsidRDefault="00D8217F" w:rsidP="00D8217F">
      <w:pPr>
        <w:pStyle w:val="B1"/>
      </w:pPr>
      <w:r>
        <w:t>1&gt;</w:t>
      </w:r>
      <w:r>
        <w:tab/>
        <w:t xml:space="preserve">if the </w:t>
      </w:r>
      <w:r>
        <w:rPr>
          <w:i/>
        </w:rPr>
        <w:t>RRCResume</w:t>
      </w:r>
      <w:r>
        <w:t xml:space="preserve"> message includes the </w:t>
      </w:r>
      <w:r>
        <w:rPr>
          <w:i/>
        </w:rPr>
        <w:t>measConfig</w:t>
      </w:r>
      <w:r>
        <w:t>:</w:t>
      </w:r>
    </w:p>
    <w:p w14:paraId="30745268" w14:textId="77777777" w:rsidR="00D8217F" w:rsidRDefault="00D8217F" w:rsidP="00D8217F">
      <w:pPr>
        <w:pStyle w:val="B2"/>
      </w:pPr>
      <w:r>
        <w:lastRenderedPageBreak/>
        <w:t>2&gt;</w:t>
      </w:r>
      <w:r>
        <w:tab/>
        <w:t>perform the measurement configuration procedure as specified in 5.5.2;</w:t>
      </w:r>
    </w:p>
    <w:p w14:paraId="798A3439" w14:textId="77777777" w:rsidR="00D8217F" w:rsidRDefault="00D8217F" w:rsidP="00D8217F">
      <w:pPr>
        <w:pStyle w:val="B1"/>
      </w:pPr>
      <w:r>
        <w:t>1&gt;</w:t>
      </w:r>
      <w:r>
        <w:tab/>
        <w:t>resume measurements if suspended;</w:t>
      </w:r>
    </w:p>
    <w:p w14:paraId="460263BF" w14:textId="77777777" w:rsidR="00D8217F" w:rsidRDefault="00D8217F" w:rsidP="00D8217F">
      <w:pPr>
        <w:pStyle w:val="EditorsNote"/>
      </w:pPr>
      <w:r>
        <w:t>Editor’s Note: FFS Whether there is a need to define UE actions related to access control timers (equivalent to T302, T303, T305, T306, T308 in LTE). For example, informing upper layers if a given timer is not running.</w:t>
      </w:r>
    </w:p>
    <w:p w14:paraId="64B965BC" w14:textId="77777777" w:rsidR="00D8217F" w:rsidRDefault="00D8217F" w:rsidP="00D8217F">
      <w:pPr>
        <w:pStyle w:val="B1"/>
      </w:pPr>
      <w:r>
        <w:t>1&gt;</w:t>
      </w:r>
      <w:r>
        <w:tab/>
        <w:t>enter RRC_CONNECTED;</w:t>
      </w:r>
    </w:p>
    <w:p w14:paraId="3780C4D9" w14:textId="77777777" w:rsidR="00D8217F" w:rsidRDefault="00D8217F" w:rsidP="00D8217F">
      <w:pPr>
        <w:pStyle w:val="B1"/>
      </w:pPr>
      <w:r>
        <w:t>1&gt;</w:t>
      </w:r>
      <w:r>
        <w:tab/>
        <w:t>indicate to upper layers that the suspended RRC connection has been resumed;</w:t>
      </w:r>
    </w:p>
    <w:p w14:paraId="620C93B8" w14:textId="77777777" w:rsidR="00D8217F" w:rsidRDefault="00D8217F" w:rsidP="00D8217F">
      <w:pPr>
        <w:pStyle w:val="B1"/>
      </w:pPr>
      <w:r>
        <w:t>1&gt;</w:t>
      </w:r>
      <w:r>
        <w:tab/>
        <w:t>stop the cell re-selection procedure;</w:t>
      </w:r>
    </w:p>
    <w:p w14:paraId="178BE059" w14:textId="77777777" w:rsidR="00D8217F" w:rsidRDefault="00D8217F" w:rsidP="00D8217F">
      <w:pPr>
        <w:pStyle w:val="B1"/>
      </w:pPr>
      <w:r>
        <w:t>1&gt;</w:t>
      </w:r>
      <w:r>
        <w:tab/>
        <w:t>consider the current cell to be the PCell;</w:t>
      </w:r>
    </w:p>
    <w:p w14:paraId="6C2A7C63" w14:textId="77777777" w:rsidR="00D8217F" w:rsidRDefault="00D8217F" w:rsidP="00D8217F">
      <w:pPr>
        <w:pStyle w:val="B1"/>
      </w:pPr>
      <w:r>
        <w:t>1&gt;</w:t>
      </w:r>
      <w:r>
        <w:tab/>
        <w:t xml:space="preserve">set the content of the of </w:t>
      </w:r>
      <w:r>
        <w:rPr>
          <w:i/>
        </w:rPr>
        <w:t>RRCResumeComplete</w:t>
      </w:r>
      <w:r w:rsidRPr="001E23E6">
        <w:rPr>
          <w:i/>
          <w:lang w:val="en-US"/>
        </w:rPr>
        <w:t xml:space="preserve"> </w:t>
      </w:r>
      <w:r>
        <w:t>message as follows:</w:t>
      </w:r>
    </w:p>
    <w:p w14:paraId="34F2DBCD" w14:textId="77777777" w:rsidR="00D8217F" w:rsidRDefault="00D8217F" w:rsidP="00D8217F">
      <w:pPr>
        <w:pStyle w:val="B2"/>
      </w:pPr>
      <w:r>
        <w:t xml:space="preserve">2&gt;  if the upper layer provides NAS PDU, set the </w:t>
      </w:r>
      <w:r>
        <w:rPr>
          <w:i/>
          <w:noProof/>
        </w:rPr>
        <w:t>d</w:t>
      </w:r>
      <w:r w:rsidRPr="005C406A">
        <w:rPr>
          <w:i/>
          <w:noProof/>
        </w:rPr>
        <w:t>edicatedNAS-Message</w:t>
      </w:r>
      <w:r>
        <w:t xml:space="preserve"> to include the information received from upper layers; </w:t>
      </w:r>
    </w:p>
    <w:p w14:paraId="63E7086F" w14:textId="77777777" w:rsidR="00D8217F" w:rsidRDefault="00D8217F" w:rsidP="00D8217F">
      <w:pPr>
        <w:pStyle w:val="B2"/>
      </w:pPr>
      <w:r w:rsidRPr="002E1743">
        <w:t xml:space="preserve">2&gt; if the upper layer provides a PLMN, set the </w:t>
      </w:r>
      <w:r w:rsidRPr="002E1743">
        <w:rPr>
          <w:i/>
        </w:rPr>
        <w:t>selectedPLMN-Identity</w:t>
      </w:r>
      <w:r w:rsidRPr="002E1743">
        <w:t xml:space="preserve"> to PLMN selected by upper layers (TS 24.501 [23]) from the PLMN(s) included in the </w:t>
      </w:r>
      <w:r w:rsidRPr="002E1743">
        <w:rPr>
          <w:i/>
        </w:rPr>
        <w:t>plmn-IdentityList</w:t>
      </w:r>
      <w:r w:rsidRPr="002E1743">
        <w:t xml:space="preserve"> in </w:t>
      </w:r>
      <w:r w:rsidRPr="002E1743">
        <w:rPr>
          <w:i/>
        </w:rPr>
        <w:t>SIB1;</w:t>
      </w:r>
      <w:r>
        <w:t xml:space="preserve"> </w:t>
      </w:r>
    </w:p>
    <w:p w14:paraId="313B76AC" w14:textId="77777777" w:rsidR="00D8217F" w:rsidRDefault="00D8217F" w:rsidP="00D8217F">
      <w:pPr>
        <w:pStyle w:val="B2"/>
      </w:pPr>
      <w:r>
        <w:t>2&gt;</w:t>
      </w:r>
      <w:r>
        <w:tab/>
        <w:t xml:space="preserve">if the </w:t>
      </w:r>
      <w:r w:rsidRPr="000E00D3">
        <w:rPr>
          <w:i/>
          <w:rPrChange w:id="11" w:author="Author">
            <w:rPr/>
          </w:rPrChange>
        </w:rPr>
        <w:t>masterCellGroup</w:t>
      </w:r>
      <w:del w:id="12" w:author="Author">
        <w:r w:rsidDel="000E00D3">
          <w:delText>Config</w:delText>
        </w:r>
      </w:del>
      <w:r>
        <w:t xml:space="preserve"> contains the </w:t>
      </w:r>
      <w:r w:rsidRPr="000E00D3">
        <w:rPr>
          <w:i/>
          <w:rPrChange w:id="13" w:author="Author">
            <w:rPr/>
          </w:rPrChange>
        </w:rPr>
        <w:t>reportUplinkTxDirectCurrent</w:t>
      </w:r>
      <w:r>
        <w:t>:</w:t>
      </w:r>
    </w:p>
    <w:p w14:paraId="514470FC" w14:textId="77777777" w:rsidR="00D8217F" w:rsidRDefault="00D8217F" w:rsidP="00D8217F">
      <w:pPr>
        <w:pStyle w:val="B3"/>
      </w:pPr>
      <w:r>
        <w:t xml:space="preserve">3&gt; include the </w:t>
      </w:r>
      <w:r w:rsidRPr="000E00D3">
        <w:rPr>
          <w:i/>
          <w:rPrChange w:id="14" w:author="Author">
            <w:rPr/>
          </w:rPrChange>
        </w:rPr>
        <w:t>uplinkTxDirectCurrentList</w:t>
      </w:r>
      <w:r>
        <w:t>;</w:t>
      </w:r>
    </w:p>
    <w:p w14:paraId="49AF5ED8" w14:textId="77777777" w:rsidR="00D8217F" w:rsidRDefault="00D8217F" w:rsidP="00D8217F">
      <w:pPr>
        <w:pStyle w:val="B1"/>
      </w:pPr>
      <w:r>
        <w:t>1&gt;</w:t>
      </w:r>
      <w:r>
        <w:tab/>
        <w:t xml:space="preserve">submit the </w:t>
      </w:r>
      <w:r>
        <w:rPr>
          <w:i/>
        </w:rPr>
        <w:t>RRCResumeComplete</w:t>
      </w:r>
      <w:r>
        <w:t xml:space="preserve"> message to lower layers for transmission;</w:t>
      </w:r>
    </w:p>
    <w:p w14:paraId="67D66280" w14:textId="77777777" w:rsidR="00D8217F" w:rsidRDefault="00D8217F" w:rsidP="00D8217F">
      <w:pPr>
        <w:pStyle w:val="B1"/>
      </w:pPr>
      <w:r>
        <w:t>1&gt;</w:t>
      </w:r>
      <w:r>
        <w:tab/>
        <w:t>the procedure ends.</w:t>
      </w:r>
    </w:p>
    <w:p w14:paraId="1024172D" w14:textId="77777777" w:rsidR="0004652D" w:rsidRPr="00AB51C5" w:rsidRDefault="0004652D" w:rsidP="000465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399D18B" w14:textId="77777777" w:rsidR="0004652D" w:rsidRDefault="0004652D" w:rsidP="0004652D">
      <w:pPr>
        <w:rPr>
          <w:noProof/>
        </w:rPr>
      </w:pPr>
    </w:p>
    <w:sectPr w:rsidR="0004652D" w:rsidSect="009246AC">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4652D"/>
    <w:rsid w:val="00053E9E"/>
    <w:rsid w:val="00075102"/>
    <w:rsid w:val="00085F3D"/>
    <w:rsid w:val="000A6394"/>
    <w:rsid w:val="000C038A"/>
    <w:rsid w:val="000C6598"/>
    <w:rsid w:val="000F26EB"/>
    <w:rsid w:val="00107586"/>
    <w:rsid w:val="001131A1"/>
    <w:rsid w:val="00132364"/>
    <w:rsid w:val="00141C47"/>
    <w:rsid w:val="00145D43"/>
    <w:rsid w:val="00154073"/>
    <w:rsid w:val="00192C46"/>
    <w:rsid w:val="001A7B60"/>
    <w:rsid w:val="001B7A65"/>
    <w:rsid w:val="001E39AD"/>
    <w:rsid w:val="001E41F3"/>
    <w:rsid w:val="001F2D4F"/>
    <w:rsid w:val="0020066E"/>
    <w:rsid w:val="002200E7"/>
    <w:rsid w:val="002576E0"/>
    <w:rsid w:val="0026004D"/>
    <w:rsid w:val="00275D12"/>
    <w:rsid w:val="002860C4"/>
    <w:rsid w:val="002A01CC"/>
    <w:rsid w:val="002B5741"/>
    <w:rsid w:val="002D42E6"/>
    <w:rsid w:val="002E34A4"/>
    <w:rsid w:val="00301315"/>
    <w:rsid w:val="00305409"/>
    <w:rsid w:val="003E1A36"/>
    <w:rsid w:val="003E5AB1"/>
    <w:rsid w:val="00414D47"/>
    <w:rsid w:val="004242F1"/>
    <w:rsid w:val="004A5B58"/>
    <w:rsid w:val="004B75B7"/>
    <w:rsid w:val="004E7EE8"/>
    <w:rsid w:val="004F2032"/>
    <w:rsid w:val="004F66B2"/>
    <w:rsid w:val="0051580D"/>
    <w:rsid w:val="005169F4"/>
    <w:rsid w:val="005220E9"/>
    <w:rsid w:val="00551911"/>
    <w:rsid w:val="00592D74"/>
    <w:rsid w:val="005B7913"/>
    <w:rsid w:val="005E2C44"/>
    <w:rsid w:val="00621188"/>
    <w:rsid w:val="006257ED"/>
    <w:rsid w:val="00665C72"/>
    <w:rsid w:val="00695808"/>
    <w:rsid w:val="006A3163"/>
    <w:rsid w:val="006B46FB"/>
    <w:rsid w:val="006B61CE"/>
    <w:rsid w:val="006C044C"/>
    <w:rsid w:val="006E06D4"/>
    <w:rsid w:val="006E21FB"/>
    <w:rsid w:val="007507EE"/>
    <w:rsid w:val="00764FED"/>
    <w:rsid w:val="00792342"/>
    <w:rsid w:val="007A1F35"/>
    <w:rsid w:val="007B512A"/>
    <w:rsid w:val="007C2097"/>
    <w:rsid w:val="007D6A07"/>
    <w:rsid w:val="007E6912"/>
    <w:rsid w:val="007F337C"/>
    <w:rsid w:val="00800E83"/>
    <w:rsid w:val="008162B2"/>
    <w:rsid w:val="008279FA"/>
    <w:rsid w:val="008416C9"/>
    <w:rsid w:val="008626E7"/>
    <w:rsid w:val="00870EE7"/>
    <w:rsid w:val="008B5032"/>
    <w:rsid w:val="008F686C"/>
    <w:rsid w:val="009061A8"/>
    <w:rsid w:val="009209A0"/>
    <w:rsid w:val="009246AC"/>
    <w:rsid w:val="00950975"/>
    <w:rsid w:val="009777D9"/>
    <w:rsid w:val="00982B0B"/>
    <w:rsid w:val="00991B88"/>
    <w:rsid w:val="009A579D"/>
    <w:rsid w:val="009E3297"/>
    <w:rsid w:val="009F734F"/>
    <w:rsid w:val="00A246B6"/>
    <w:rsid w:val="00A2690B"/>
    <w:rsid w:val="00A35034"/>
    <w:rsid w:val="00A47E70"/>
    <w:rsid w:val="00A7671C"/>
    <w:rsid w:val="00A770D6"/>
    <w:rsid w:val="00AB51C5"/>
    <w:rsid w:val="00AD1CD8"/>
    <w:rsid w:val="00B064AE"/>
    <w:rsid w:val="00B21359"/>
    <w:rsid w:val="00B258BB"/>
    <w:rsid w:val="00B4464E"/>
    <w:rsid w:val="00B67B97"/>
    <w:rsid w:val="00B968C8"/>
    <w:rsid w:val="00BA3EC5"/>
    <w:rsid w:val="00BB5DFC"/>
    <w:rsid w:val="00BD279D"/>
    <w:rsid w:val="00BD2F8F"/>
    <w:rsid w:val="00BD6BB8"/>
    <w:rsid w:val="00BE7B9C"/>
    <w:rsid w:val="00C121EA"/>
    <w:rsid w:val="00C52F2F"/>
    <w:rsid w:val="00C63FBA"/>
    <w:rsid w:val="00C95985"/>
    <w:rsid w:val="00CC5026"/>
    <w:rsid w:val="00CE5F89"/>
    <w:rsid w:val="00D03F9A"/>
    <w:rsid w:val="00D14363"/>
    <w:rsid w:val="00D4162D"/>
    <w:rsid w:val="00D8217F"/>
    <w:rsid w:val="00DE34CF"/>
    <w:rsid w:val="00EC130E"/>
    <w:rsid w:val="00EE7D7C"/>
    <w:rsid w:val="00EF4F68"/>
    <w:rsid w:val="00F25D98"/>
    <w:rsid w:val="00F300FB"/>
    <w:rsid w:val="00F35673"/>
    <w:rsid w:val="00F4295D"/>
    <w:rsid w:val="00F60696"/>
    <w:rsid w:val="00F70C5A"/>
    <w:rsid w:val="00F754A6"/>
    <w:rsid w:val="00FB6386"/>
    <w:rsid w:val="00FC0DE5"/>
    <w:rsid w:val="00FD1ABC"/>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F26EB"/>
    <w:rPr>
      <w:rFonts w:ascii="Times New Roman" w:hAnsi="Times New Roman"/>
      <w:lang w:val="en-GB" w:eastAsia="en-US"/>
    </w:rPr>
  </w:style>
  <w:style w:type="character" w:customStyle="1" w:styleId="EditorsNoteChar">
    <w:name w:val="Editor's Note Char"/>
    <w:aliases w:val="EN Char"/>
    <w:link w:val="EditorsNote"/>
    <w:rsid w:val="000F26EB"/>
    <w:rPr>
      <w:rFonts w:ascii="Times New Roman" w:hAnsi="Times New Roman"/>
      <w:color w:val="FF0000"/>
      <w:lang w:val="en-GB" w:eastAsia="en-US"/>
    </w:rPr>
  </w:style>
  <w:style w:type="character" w:customStyle="1" w:styleId="B2Char">
    <w:name w:val="B2 Char"/>
    <w:link w:val="B2"/>
    <w:qFormat/>
    <w:rsid w:val="000F26EB"/>
    <w:rPr>
      <w:rFonts w:ascii="Times New Roman" w:hAnsi="Times New Roman"/>
      <w:lang w:val="en-GB" w:eastAsia="en-US"/>
    </w:rPr>
  </w:style>
  <w:style w:type="character" w:customStyle="1" w:styleId="B3Char2">
    <w:name w:val="B3 Char2"/>
    <w:link w:val="B3"/>
    <w:qFormat/>
    <w:rsid w:val="000F26EB"/>
    <w:rPr>
      <w:rFonts w:ascii="Times New Roman" w:hAnsi="Times New Roman"/>
      <w:lang w:val="en-GB" w:eastAsia="en-US"/>
    </w:rPr>
  </w:style>
  <w:style w:type="character" w:customStyle="1" w:styleId="B4Char">
    <w:name w:val="B4 Char"/>
    <w:link w:val="B4"/>
    <w:qFormat/>
    <w:rsid w:val="000F26EB"/>
    <w:rPr>
      <w:rFonts w:ascii="Times New Roman" w:hAnsi="Times New Roman"/>
      <w:lang w:val="en-GB" w:eastAsia="en-US"/>
    </w:rPr>
  </w:style>
  <w:style w:type="character" w:customStyle="1" w:styleId="PLChar">
    <w:name w:val="PL Char"/>
    <w:link w:val="PL"/>
    <w:qFormat/>
    <w:rsid w:val="00EC130E"/>
    <w:rPr>
      <w:rFonts w:ascii="Courier New" w:hAnsi="Courier New"/>
      <w:noProof/>
      <w:sz w:val="16"/>
      <w:lang w:val="en-GB" w:eastAsia="en-US"/>
    </w:rPr>
  </w:style>
  <w:style w:type="character" w:customStyle="1" w:styleId="TALCar">
    <w:name w:val="TAL Car"/>
    <w:link w:val="TAL"/>
    <w:qFormat/>
    <w:rsid w:val="00EC130E"/>
    <w:rPr>
      <w:rFonts w:ascii="Arial" w:hAnsi="Arial"/>
      <w:sz w:val="18"/>
      <w:lang w:val="en-GB" w:eastAsia="en-US"/>
    </w:rPr>
  </w:style>
  <w:style w:type="character" w:customStyle="1" w:styleId="TAHCar">
    <w:name w:val="TAH Car"/>
    <w:link w:val="TAH"/>
    <w:qFormat/>
    <w:locked/>
    <w:rsid w:val="00EC130E"/>
    <w:rPr>
      <w:rFonts w:ascii="Arial" w:hAnsi="Arial"/>
      <w:b/>
      <w:sz w:val="18"/>
      <w:lang w:val="en-GB" w:eastAsia="en-US"/>
    </w:rPr>
  </w:style>
  <w:style w:type="character" w:customStyle="1" w:styleId="THChar">
    <w:name w:val="TH Char"/>
    <w:link w:val="TH"/>
    <w:qFormat/>
    <w:rsid w:val="00EC130E"/>
    <w:rPr>
      <w:rFonts w:ascii="Arial" w:hAnsi="Arial"/>
      <w:b/>
      <w:lang w:val="en-GB" w:eastAsia="en-US"/>
    </w:rPr>
  </w:style>
  <w:style w:type="character" w:customStyle="1" w:styleId="CommentTextChar">
    <w:name w:val="Comment Text Char"/>
    <w:link w:val="CommentText"/>
    <w:uiPriority w:val="99"/>
    <w:qFormat/>
    <w:rsid w:val="00EC130E"/>
    <w:rPr>
      <w:rFonts w:ascii="Times New Roman" w:hAnsi="Times New Roman"/>
      <w:lang w:val="en-GB" w:eastAsia="en-US"/>
    </w:rPr>
  </w:style>
  <w:style w:type="table" w:styleId="TableGrid">
    <w:name w:val="Table Grid"/>
    <w:basedOn w:val="TableNormal"/>
    <w:uiPriority w:val="39"/>
    <w:rsid w:val="00EC130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6E0"/>
    <w:rPr>
      <w:rFonts w:ascii="Times New Roman" w:hAnsi="Times New Roman"/>
      <w:lang w:val="en-GB" w:eastAsia="en-US"/>
    </w:rPr>
  </w:style>
  <w:style w:type="character" w:customStyle="1" w:styleId="B5Char">
    <w:name w:val="B5 Char"/>
    <w:link w:val="B5"/>
    <w:qFormat/>
    <w:rsid w:val="00665C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5AIRPNAIUNRU-859666464-3809</_dlc_DocId>
    <_dlc_DocIdUrl xmlns="71c5aaf6-e6ce-465b-b873-5148d2a4c105">
      <Url>https://nokia.sharepoint.com/sites/c5g/e2earch/_layouts/15/DocIdRedir.aspx?ID=5AIRPNAIUNRU-859666464-3809</Url>
      <Description>5AIRPNAIUNRU-859666464-3809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2006/metadata/properties"/>
    <ds:schemaRef ds:uri="a3840f4f-04be-43d1-b2ef-6ff1382503c7"/>
    <ds:schemaRef ds:uri="http://purl.org/dc/dcmitype/"/>
    <ds:schemaRef ds:uri="http://schemas.microsoft.com/office/infopath/2007/PartnerControls"/>
    <ds:schemaRef ds:uri="83f22d2f-d16e-4be6-ad4f-29fa0b067c3c"/>
    <ds:schemaRef ds:uri="3b34c8f0-1ef5-4d1e-bb66-517ce7fe7356"/>
    <ds:schemaRef ds:uri="71c5aaf6-e6ce-465b-b873-5148d2a4c105"/>
    <ds:schemaRef ds:uri="http://purl.org/dc/elements/1.1/"/>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6.xml><?xml version="1.0" encoding="utf-8"?>
<ds:datastoreItem xmlns:ds="http://schemas.openxmlformats.org/officeDocument/2006/customXml" ds:itemID="{1B8321C4-5D4D-4525-91B6-16745CF4A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684</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Nokia_UPDATES</cp:lastModifiedBy>
  <cp:revision>7</cp:revision>
  <cp:lastPrinted>1899-12-31T22:00:00Z</cp:lastPrinted>
  <dcterms:created xsi:type="dcterms:W3CDTF">2018-09-13T11:52:00Z</dcterms:created>
  <dcterms:modified xsi:type="dcterms:W3CDTF">2018-09-27T09:02:00Z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d6b8accd-c3ae-4da3-93cd-afb0cf282008</vt:lpwstr>
  </property>
</Properties>
</file>